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6F49" w14:textId="77777777" w:rsidR="00642910" w:rsidRPr="00642910" w:rsidRDefault="00642910" w:rsidP="00642910">
      <w:pPr>
        <w:widowControl w:val="0"/>
        <w:autoSpaceDE w:val="0"/>
        <w:autoSpaceDN w:val="0"/>
        <w:adjustRightInd w:val="0"/>
        <w:rPr>
          <w:rFonts w:asciiTheme="minorHAnsi" w:hAnsiTheme="minorHAnsi" w:cs="Arial"/>
          <w:color w:val="000000"/>
          <w:sz w:val="20"/>
          <w:szCs w:val="20"/>
        </w:rPr>
      </w:pPr>
      <w:r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BF0793" w:rsidRDefault="00BF0793" w:rsidP="00BF0793">
      <w:pPr>
        <w:spacing w:after="200" w:line="276" w:lineRule="auto"/>
        <w:rPr>
          <w:rFonts w:asciiTheme="minorHAnsi" w:hAnsiTheme="minorHAnsi"/>
          <w:b/>
          <w:sz w:val="22"/>
          <w:szCs w:val="22"/>
        </w:rPr>
      </w:pPr>
      <w:r w:rsidRPr="00BF0793">
        <w:rPr>
          <w:rFonts w:asciiTheme="minorHAnsi" w:hAnsiTheme="minorHAnsi"/>
          <w:b/>
          <w:sz w:val="22"/>
          <w:szCs w:val="22"/>
        </w:rPr>
        <w:t>Policy Name:</w:t>
      </w:r>
      <w:r w:rsidR="00B028CB">
        <w:rPr>
          <w:rFonts w:asciiTheme="minorHAnsi" w:hAnsiTheme="minorHAnsi"/>
          <w:b/>
          <w:sz w:val="22"/>
          <w:szCs w:val="22"/>
        </w:rPr>
        <w:t xml:space="preserve"> </w:t>
      </w:r>
      <w:r w:rsidRPr="00BF0793">
        <w:rPr>
          <w:rFonts w:asciiTheme="minorHAnsi" w:hAnsiTheme="minorHAnsi"/>
          <w:b/>
          <w:sz w:val="22"/>
          <w:szCs w:val="22"/>
        </w:rPr>
        <w:t>Equality and Diversity Policy</w:t>
      </w:r>
    </w:p>
    <w:p w14:paraId="6DA95CDE" w14:textId="77777777" w:rsidR="00BF0793" w:rsidRDefault="00BF0793" w:rsidP="00BF0793">
      <w:pPr>
        <w:spacing w:after="200" w:line="276" w:lineRule="auto"/>
        <w:rPr>
          <w:rFonts w:asciiTheme="minorHAnsi" w:hAnsi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Default="00BF0793">
            <w: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Default="00BF0793">
            <w: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Default="00BF0793">
            <w: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Default="00BF0793">
            <w:r>
              <w:t>Next review due</w:t>
            </w:r>
          </w:p>
        </w:tc>
      </w:tr>
      <w:tr w:rsidR="00BF0793"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Default="00B028CB">
            <w: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Default="00B028CB">
            <w: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Default="00B028CB">
            <w: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Default="00B028CB">
            <w:r>
              <w:t>August 2019</w:t>
            </w:r>
            <w:bookmarkStart w:id="0" w:name="_GoBack"/>
            <w:bookmarkEnd w:id="0"/>
          </w:p>
        </w:tc>
      </w:tr>
      <w:tr w:rsidR="00BF0793"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77777777" w:rsidR="00BF0793" w:rsidRDefault="00BF0793"/>
        </w:tc>
        <w:tc>
          <w:tcPr>
            <w:tcW w:w="2549" w:type="dxa"/>
            <w:tcBorders>
              <w:top w:val="single" w:sz="4" w:space="0" w:color="auto"/>
              <w:left w:val="single" w:sz="4" w:space="0" w:color="auto"/>
              <w:bottom w:val="single" w:sz="4" w:space="0" w:color="auto"/>
              <w:right w:val="single" w:sz="4" w:space="0" w:color="auto"/>
            </w:tcBorders>
          </w:tcPr>
          <w:p w14:paraId="64DE02AA" w14:textId="77777777" w:rsidR="00BF0793" w:rsidRDefault="00BF0793"/>
        </w:tc>
        <w:tc>
          <w:tcPr>
            <w:tcW w:w="2285" w:type="dxa"/>
            <w:tcBorders>
              <w:top w:val="single" w:sz="4" w:space="0" w:color="auto"/>
              <w:left w:val="single" w:sz="4" w:space="0" w:color="auto"/>
              <w:bottom w:val="single" w:sz="4" w:space="0" w:color="auto"/>
              <w:right w:val="single" w:sz="4" w:space="0" w:color="auto"/>
            </w:tcBorders>
          </w:tcPr>
          <w:p w14:paraId="34192C52" w14:textId="77777777" w:rsidR="00BF0793" w:rsidRDefault="00BF0793"/>
        </w:tc>
        <w:tc>
          <w:tcPr>
            <w:tcW w:w="1869" w:type="dxa"/>
            <w:tcBorders>
              <w:top w:val="single" w:sz="4" w:space="0" w:color="auto"/>
              <w:left w:val="single" w:sz="4" w:space="0" w:color="auto"/>
              <w:bottom w:val="single" w:sz="4" w:space="0" w:color="auto"/>
              <w:right w:val="single" w:sz="4" w:space="0" w:color="auto"/>
            </w:tcBorders>
          </w:tcPr>
          <w:p w14:paraId="44C6033B" w14:textId="77777777" w:rsidR="00BF0793" w:rsidRDefault="00BF0793"/>
        </w:tc>
      </w:tr>
      <w:tr w:rsidR="00BF0793"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7777777" w:rsidR="00BF0793" w:rsidRDefault="00BF0793"/>
        </w:tc>
        <w:tc>
          <w:tcPr>
            <w:tcW w:w="2549" w:type="dxa"/>
            <w:tcBorders>
              <w:top w:val="single" w:sz="4" w:space="0" w:color="auto"/>
              <w:left w:val="single" w:sz="4" w:space="0" w:color="auto"/>
              <w:bottom w:val="single" w:sz="4" w:space="0" w:color="auto"/>
              <w:right w:val="single" w:sz="4" w:space="0" w:color="auto"/>
            </w:tcBorders>
          </w:tcPr>
          <w:p w14:paraId="3279E4E6" w14:textId="77777777" w:rsidR="00BF0793" w:rsidRDefault="00BF0793"/>
        </w:tc>
        <w:tc>
          <w:tcPr>
            <w:tcW w:w="2285" w:type="dxa"/>
            <w:tcBorders>
              <w:top w:val="single" w:sz="4" w:space="0" w:color="auto"/>
              <w:left w:val="single" w:sz="4" w:space="0" w:color="auto"/>
              <w:bottom w:val="single" w:sz="4" w:space="0" w:color="auto"/>
              <w:right w:val="single" w:sz="4" w:space="0" w:color="auto"/>
            </w:tcBorders>
          </w:tcPr>
          <w:p w14:paraId="094F0F4B" w14:textId="77777777" w:rsidR="00BF0793" w:rsidRDefault="00BF0793"/>
        </w:tc>
        <w:tc>
          <w:tcPr>
            <w:tcW w:w="1869" w:type="dxa"/>
            <w:tcBorders>
              <w:top w:val="single" w:sz="4" w:space="0" w:color="auto"/>
              <w:left w:val="single" w:sz="4" w:space="0" w:color="auto"/>
              <w:bottom w:val="single" w:sz="4" w:space="0" w:color="auto"/>
              <w:right w:val="single" w:sz="4" w:space="0" w:color="auto"/>
            </w:tcBorders>
          </w:tcPr>
          <w:p w14:paraId="390A6B84" w14:textId="77777777" w:rsidR="00BF0793" w:rsidRDefault="00BF0793"/>
        </w:tc>
      </w:tr>
      <w:tr w:rsidR="00BF0793"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77777777" w:rsidR="00BF0793" w:rsidRDefault="00BF0793"/>
        </w:tc>
        <w:tc>
          <w:tcPr>
            <w:tcW w:w="2549" w:type="dxa"/>
            <w:tcBorders>
              <w:top w:val="single" w:sz="4" w:space="0" w:color="auto"/>
              <w:left w:val="single" w:sz="4" w:space="0" w:color="auto"/>
              <w:bottom w:val="single" w:sz="4" w:space="0" w:color="auto"/>
              <w:right w:val="single" w:sz="4" w:space="0" w:color="auto"/>
            </w:tcBorders>
          </w:tcPr>
          <w:p w14:paraId="45C54B4D" w14:textId="77777777" w:rsidR="00BF0793" w:rsidRDefault="00BF0793"/>
        </w:tc>
        <w:tc>
          <w:tcPr>
            <w:tcW w:w="2285" w:type="dxa"/>
            <w:tcBorders>
              <w:top w:val="single" w:sz="4" w:space="0" w:color="auto"/>
              <w:left w:val="single" w:sz="4" w:space="0" w:color="auto"/>
              <w:bottom w:val="single" w:sz="4" w:space="0" w:color="auto"/>
              <w:right w:val="single" w:sz="4" w:space="0" w:color="auto"/>
            </w:tcBorders>
          </w:tcPr>
          <w:p w14:paraId="3CE6A61C" w14:textId="77777777" w:rsidR="00BF0793" w:rsidRDefault="00BF0793"/>
        </w:tc>
        <w:tc>
          <w:tcPr>
            <w:tcW w:w="1869" w:type="dxa"/>
            <w:tcBorders>
              <w:top w:val="single" w:sz="4" w:space="0" w:color="auto"/>
              <w:left w:val="single" w:sz="4" w:space="0" w:color="auto"/>
              <w:bottom w:val="single" w:sz="4" w:space="0" w:color="auto"/>
              <w:right w:val="single" w:sz="4" w:space="0" w:color="auto"/>
            </w:tcBorders>
          </w:tcPr>
          <w:p w14:paraId="777F518A" w14:textId="77777777" w:rsidR="00BF0793" w:rsidRDefault="00BF0793"/>
        </w:tc>
      </w:tr>
    </w:tbl>
    <w:p w14:paraId="4F76AC78" w14:textId="77777777" w:rsidR="00BF0793" w:rsidRPr="00642910" w:rsidRDefault="00BF0793" w:rsidP="00BF0793">
      <w:pPr>
        <w:widowControl w:val="0"/>
        <w:autoSpaceDE w:val="0"/>
        <w:autoSpaceDN w:val="0"/>
        <w:adjustRightInd w:val="0"/>
        <w:jc w:val="center"/>
        <w:rPr>
          <w:rFonts w:asciiTheme="minorHAnsi" w:hAnsiTheme="minorHAnsi" w:cs="Arial"/>
          <w:sz w:val="20"/>
          <w:szCs w:val="20"/>
        </w:rPr>
      </w:pPr>
    </w:p>
    <w:p w14:paraId="7F6327D0"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Equality and Diversity Policy </w:t>
      </w:r>
    </w:p>
    <w:p w14:paraId="19FB5C9D" w14:textId="6958507C"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b/>
          <w:bCs/>
          <w:sz w:val="20"/>
          <w:szCs w:val="20"/>
        </w:rPr>
        <w:t>1.0 The Melton Learning Hub</w:t>
      </w:r>
      <w:r w:rsidR="00642910" w:rsidRPr="00642910">
        <w:rPr>
          <w:rFonts w:asciiTheme="minorHAnsi" w:hAnsiTheme="minorHAnsi" w:cs="Arial"/>
          <w:b/>
          <w:bCs/>
          <w:sz w:val="20"/>
          <w:szCs w:val="20"/>
        </w:rPr>
        <w:t xml:space="preserve"> is committed to equality of opportunity in services and employment. </w:t>
      </w:r>
    </w:p>
    <w:p w14:paraId="5B1CA4DC" w14:textId="3CAEBE08"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1.1 The board of Directors</w:t>
      </w:r>
      <w:r w:rsidR="00642910" w:rsidRPr="00642910">
        <w:rPr>
          <w:rFonts w:asciiTheme="minorHAnsi" w:hAnsiTheme="minorHAnsi" w:cs="Arial"/>
          <w:sz w:val="20"/>
          <w:szCs w:val="20"/>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7C837ACF"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1.2 The board of directors</w:t>
      </w:r>
      <w:r w:rsidR="00642910" w:rsidRPr="00642910">
        <w:rPr>
          <w:rFonts w:asciiTheme="minorHAnsi" w:hAnsiTheme="minorHAnsi" w:cs="Arial"/>
          <w:sz w:val="20"/>
          <w:szCs w:val="20"/>
        </w:rPr>
        <w:t xml:space="preserve"> is opposed to all forms of unlawful and unfair discrimination (including harassment of any ki</w:t>
      </w:r>
      <w:r>
        <w:rPr>
          <w:rFonts w:asciiTheme="minorHAnsi" w:hAnsiTheme="minorHAnsi" w:cs="Arial"/>
          <w:sz w:val="20"/>
          <w:szCs w:val="20"/>
        </w:rPr>
        <w:t>nd). The Directors and Manager</w:t>
      </w:r>
      <w:r w:rsidR="00642910" w:rsidRPr="00642910">
        <w:rPr>
          <w:rFonts w:asciiTheme="minorHAnsi" w:hAnsiTheme="minorHAnsi" w:cs="Arial"/>
          <w:sz w:val="20"/>
          <w:szCs w:val="20"/>
        </w:rPr>
        <w:t xml:space="preserve"> will take appropriate action wherever instances of discrimination and harassment occur, in the delivery of services and in the course of employment. It will work effortlessly with its partners to develop effective procedures and policies to combat all forms of unlawful discrimination and to share good practice. </w:t>
      </w:r>
    </w:p>
    <w:p w14:paraId="56F1E722" w14:textId="050DB40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1.3 Th</w:t>
      </w:r>
      <w:r w:rsidR="00BF0793">
        <w:rPr>
          <w:rFonts w:asciiTheme="minorHAnsi" w:hAnsiTheme="minorHAnsi" w:cs="Arial"/>
          <w:sz w:val="20"/>
          <w:szCs w:val="20"/>
        </w:rPr>
        <w:t>e Board of Directors</w:t>
      </w:r>
      <w:r w:rsidRPr="00642910">
        <w:rPr>
          <w:rFonts w:asciiTheme="minorHAnsi" w:hAnsiTheme="minorHAnsi" w:cs="Arial"/>
          <w:sz w:val="20"/>
          <w:szCs w:val="20"/>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93CEFC7"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2.0 Delivery of Services </w:t>
      </w:r>
    </w:p>
    <w:p w14:paraId="51C75266" w14:textId="0ACBB9BE"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2.1 The Board of Directors</w:t>
      </w:r>
      <w:r w:rsidR="00642910" w:rsidRPr="00642910">
        <w:rPr>
          <w:rFonts w:asciiTheme="minorHAnsi" w:hAnsiTheme="minorHAnsi" w:cs="Arial"/>
          <w:sz w:val="20"/>
          <w:szCs w:val="20"/>
        </w:rPr>
        <w:t xml:space="preserve"> will ensure that all services are provided fairly and without discrimination. Reasonable adjustments will be made so that services are accessible to everyone who needs them. Cultural and language needs will be </w:t>
      </w:r>
      <w:proofErr w:type="spellStart"/>
      <w:r w:rsidR="00642910" w:rsidRPr="00642910">
        <w:rPr>
          <w:rFonts w:asciiTheme="minorHAnsi" w:hAnsiTheme="minorHAnsi" w:cs="Arial"/>
          <w:sz w:val="20"/>
          <w:szCs w:val="20"/>
        </w:rPr>
        <w:t>recognised</w:t>
      </w:r>
      <w:proofErr w:type="spellEnd"/>
      <w:r w:rsidR="00642910" w:rsidRPr="00642910">
        <w:rPr>
          <w:rFonts w:asciiTheme="minorHAnsi" w:hAnsiTheme="minorHAnsi" w:cs="Arial"/>
          <w:sz w:val="20"/>
          <w:szCs w:val="20"/>
        </w:rPr>
        <w:t xml:space="preserve"> and services will be provided which</w:t>
      </w:r>
      <w:r>
        <w:rPr>
          <w:rFonts w:asciiTheme="minorHAnsi" w:hAnsiTheme="minorHAnsi" w:cs="Arial"/>
          <w:sz w:val="20"/>
          <w:szCs w:val="20"/>
        </w:rPr>
        <w:t xml:space="preserve"> are appropriate to these needs where possible.</w:t>
      </w:r>
      <w:r w:rsidR="00642910" w:rsidRPr="00642910">
        <w:rPr>
          <w:rFonts w:asciiTheme="minorHAnsi" w:hAnsiTheme="minorHAnsi" w:cs="Arial"/>
          <w:sz w:val="20"/>
          <w:szCs w:val="20"/>
        </w:rPr>
        <w:t xml:space="preserve"> </w:t>
      </w:r>
    </w:p>
    <w:p w14:paraId="5087D96A" w14:textId="7E51F31C" w:rsid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2.2 The Senior Management </w:t>
      </w:r>
      <w:r w:rsidR="00BF0793">
        <w:rPr>
          <w:rFonts w:asciiTheme="minorHAnsi" w:hAnsiTheme="minorHAnsi" w:cs="Arial"/>
          <w:sz w:val="20"/>
          <w:szCs w:val="20"/>
        </w:rPr>
        <w:t>Team and the Board of Directors</w:t>
      </w:r>
      <w:r w:rsidRPr="00642910">
        <w:rPr>
          <w:rFonts w:asciiTheme="minorHAnsi" w:hAnsiTheme="minorHAnsi" w:cs="Arial"/>
          <w:sz w:val="20"/>
          <w:szCs w:val="20"/>
        </w:rPr>
        <w:t xml:space="preserve"> will monitor the provision and outcomes of services and the information collected will be used to inform service planning and </w:t>
      </w:r>
      <w:r>
        <w:rPr>
          <w:rFonts w:asciiTheme="minorHAnsi" w:hAnsiTheme="minorHAnsi" w:cs="Arial"/>
          <w:sz w:val="20"/>
          <w:szCs w:val="20"/>
        </w:rPr>
        <w:t>delivery</w:t>
      </w:r>
    </w:p>
    <w:p w14:paraId="28E8AB9F" w14:textId="77777777" w:rsidR="00642910" w:rsidRDefault="00642910" w:rsidP="00642910">
      <w:pPr>
        <w:widowControl w:val="0"/>
        <w:autoSpaceDE w:val="0"/>
        <w:autoSpaceDN w:val="0"/>
        <w:adjustRightInd w:val="0"/>
        <w:rPr>
          <w:rFonts w:asciiTheme="minorHAnsi" w:hAnsiTheme="minorHAnsi" w:cs="Arial"/>
          <w:sz w:val="20"/>
          <w:szCs w:val="20"/>
        </w:rPr>
      </w:pPr>
    </w:p>
    <w:p w14:paraId="7A743E36" w14:textId="61A2A0B7"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2.3 The board of Directors</w:t>
      </w:r>
      <w:r w:rsidR="00642910" w:rsidRPr="00642910">
        <w:rPr>
          <w:rFonts w:asciiTheme="minorHAnsi" w:hAnsiTheme="minorHAnsi" w:cs="Arial"/>
          <w:sz w:val="20"/>
          <w:szCs w:val="20"/>
        </w:rPr>
        <w:t xml:space="preserve"> takes complaints seriously. Students, parents, employees and job seekers, who feel they have been unfairly treated, hav</w:t>
      </w:r>
      <w:r>
        <w:rPr>
          <w:rFonts w:asciiTheme="minorHAnsi" w:hAnsiTheme="minorHAnsi" w:cs="Arial"/>
          <w:sz w:val="20"/>
          <w:szCs w:val="20"/>
        </w:rPr>
        <w:t>e the right to use the Hubs</w:t>
      </w:r>
      <w:r w:rsidR="00642910" w:rsidRPr="00642910">
        <w:rPr>
          <w:rFonts w:asciiTheme="minorHAnsi" w:hAnsiTheme="minorHAnsi" w:cs="Arial"/>
          <w:sz w:val="20"/>
          <w:szCs w:val="20"/>
        </w:rPr>
        <w:t xml:space="preserve"> complaints procedure. </w:t>
      </w:r>
    </w:p>
    <w:p w14:paraId="60D8DB39"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883882A"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3.0 Employment </w:t>
      </w:r>
    </w:p>
    <w:p w14:paraId="490B987C" w14:textId="09FDE3B9"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3.1 The Board of Directors</w:t>
      </w:r>
      <w:r w:rsidR="00642910" w:rsidRPr="00642910">
        <w:rPr>
          <w:rFonts w:asciiTheme="minorHAnsi" w:hAnsiTheme="minorHAnsi" w:cs="Arial"/>
          <w:sz w:val="20"/>
          <w:szCs w:val="20"/>
        </w:rPr>
        <w:t xml:space="preserve"> will work towards creating a workforce which reflects the nation’s diverse population. It will ensure that no-one is unfairly discriminated against when applying for a job or during the course of their employment </w:t>
      </w:r>
      <w:r>
        <w:rPr>
          <w:rFonts w:asciiTheme="minorHAnsi" w:hAnsiTheme="minorHAnsi" w:cs="Arial"/>
          <w:sz w:val="20"/>
          <w:szCs w:val="20"/>
        </w:rPr>
        <w:lastRenderedPageBreak/>
        <w:t>with the Hub</w:t>
      </w:r>
      <w:r w:rsidR="00642910" w:rsidRPr="00642910">
        <w:rPr>
          <w:rFonts w:asciiTheme="minorHAnsi" w:hAnsiTheme="minorHAnsi" w:cs="Arial"/>
          <w:sz w:val="20"/>
          <w:szCs w:val="20"/>
        </w:rPr>
        <w:t xml:space="preserve">. </w:t>
      </w:r>
    </w:p>
    <w:p w14:paraId="5CE5B618"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 and take action where evidence shows unfair treatment or where particular communities are not adequately reflected within the workforce. </w:t>
      </w:r>
    </w:p>
    <w:p w14:paraId="368D23E9" w14:textId="1BAA45C9"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3.4 An employee who has a concern regarding unfair discrimination or harassment at w</w:t>
      </w:r>
      <w:r w:rsidR="00BF0793">
        <w:rPr>
          <w:rFonts w:asciiTheme="minorHAnsi" w:hAnsiTheme="minorHAnsi" w:cs="Arial"/>
          <w:sz w:val="20"/>
          <w:szCs w:val="20"/>
        </w:rPr>
        <w:t>ork may approach the Board of Directors</w:t>
      </w:r>
      <w:r w:rsidRPr="00642910">
        <w:rPr>
          <w:rFonts w:asciiTheme="minorHAnsi" w:hAnsiTheme="minorHAnsi" w:cs="Arial"/>
          <w:sz w:val="20"/>
          <w:szCs w:val="20"/>
        </w:rPr>
        <w:t xml:space="preserve">. This does not affect an employee’s right of reference to an employment tribunal within the statutory time limits. </w:t>
      </w:r>
    </w:p>
    <w:p w14:paraId="7A5EFD6F"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FA76F32" w14:textId="149BD78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4.0 Responsibility </w:t>
      </w:r>
      <w:r w:rsidR="00BF0793">
        <w:rPr>
          <w:rFonts w:asciiTheme="minorHAnsi" w:hAnsiTheme="minorHAnsi" w:cs="Arial"/>
          <w:b/>
          <w:bCs/>
          <w:sz w:val="20"/>
          <w:szCs w:val="20"/>
        </w:rPr>
        <w:t>of all Melton Learning Hub Employees</w:t>
      </w:r>
    </w:p>
    <w:p w14:paraId="3561AAEE" w14:textId="47FF1650"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4.1 The board of Directors</w:t>
      </w:r>
      <w:r w:rsidR="00642910" w:rsidRPr="00642910">
        <w:rPr>
          <w:rFonts w:asciiTheme="minorHAnsi" w:hAnsiTheme="minorHAnsi" w:cs="Arial"/>
          <w:sz w:val="20"/>
          <w:szCs w:val="20"/>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029168D3"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4.2 Employees should participate actively in</w:t>
      </w:r>
      <w:r w:rsidR="00BF0793">
        <w:rPr>
          <w:rFonts w:asciiTheme="minorHAnsi" w:hAnsiTheme="minorHAnsi" w:cs="Arial"/>
          <w:sz w:val="20"/>
          <w:szCs w:val="20"/>
        </w:rPr>
        <w:t xml:space="preserve"> measures introduced by the Hub</w:t>
      </w:r>
      <w:r w:rsidRPr="00642910">
        <w:rPr>
          <w:rFonts w:asciiTheme="minorHAnsi" w:hAnsiTheme="minorHAnsi" w:cs="Arial"/>
          <w:sz w:val="20"/>
          <w:szCs w:val="20"/>
        </w:rPr>
        <w:t xml:space="preserve"> to ensure that there is equality of opportunity and non-discrimination. Employees should also draw the attention of management and or the Governing Body to alleged unlawful or unfair discriminatory acts or practices. </w:t>
      </w:r>
    </w:p>
    <w:p w14:paraId="06298814" w14:textId="073C23C6" w:rsidR="005B002C" w:rsidRPr="00642910" w:rsidRDefault="00642910" w:rsidP="00642910">
      <w:pPr>
        <w:rPr>
          <w:rFonts w:asciiTheme="minorHAnsi" w:hAnsiTheme="minorHAnsi"/>
          <w:sz w:val="20"/>
          <w:szCs w:val="20"/>
        </w:rPr>
      </w:pPr>
      <w:r w:rsidRPr="00642910">
        <w:rPr>
          <w:rFonts w:asciiTheme="minorHAnsi" w:hAnsiTheme="minorHAnsi" w:cs="Arial"/>
          <w:sz w:val="20"/>
          <w:szCs w:val="20"/>
        </w:rPr>
        <w:t>4.3 Should employees, through the course of their employment, be found to have caused or encouraged discrimination, this will be regarded as a particularly serious offence, rendering them liable to disciplinary action.</w:t>
      </w:r>
    </w:p>
    <w:sectPr w:rsidR="005B002C" w:rsidRPr="00642910"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AB"/>
    <w:rsid w:val="00150DEF"/>
    <w:rsid w:val="002C0573"/>
    <w:rsid w:val="005B002C"/>
    <w:rsid w:val="00642910"/>
    <w:rsid w:val="008C25AB"/>
    <w:rsid w:val="00B028CB"/>
    <w:rsid w:val="00BF0793"/>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Jo Kear</cp:lastModifiedBy>
  <cp:revision>2</cp:revision>
  <dcterms:created xsi:type="dcterms:W3CDTF">2019-02-24T20:44:00Z</dcterms:created>
  <dcterms:modified xsi:type="dcterms:W3CDTF">2019-02-24T20:44:00Z</dcterms:modified>
</cp:coreProperties>
</file>