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8C0B05" w:rsidRP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  <w:r w:rsidRPr="008C0B05">
        <w:rPr>
          <w:rFonts w:asciiTheme="majorHAnsi" w:hAnsiTheme="majorHAnsi" w:cs="Calibri-Bold"/>
          <w:b/>
          <w:bCs/>
          <w:sz w:val="24"/>
          <w:szCs w:val="24"/>
        </w:rPr>
        <w:t xml:space="preserve">This policy should be read in conjunction with the </w:t>
      </w:r>
      <w:proofErr w:type="spellStart"/>
      <w:r w:rsidRPr="008C0B05">
        <w:rPr>
          <w:rFonts w:asciiTheme="majorHAnsi" w:hAnsiTheme="majorHAnsi" w:cs="Calibri-Bold"/>
          <w:b/>
          <w:bCs/>
          <w:sz w:val="24"/>
          <w:szCs w:val="24"/>
        </w:rPr>
        <w:t>MultiAgency</w:t>
      </w:r>
      <w:proofErr w:type="spellEnd"/>
    </w:p>
    <w:p w:rsidR="008C0B05" w:rsidRP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  <w:r w:rsidRPr="008C0B05">
        <w:rPr>
          <w:rFonts w:asciiTheme="majorHAnsi" w:hAnsiTheme="majorHAnsi" w:cs="Calibri-Bold"/>
          <w:b/>
          <w:bCs/>
          <w:sz w:val="24"/>
          <w:szCs w:val="24"/>
        </w:rPr>
        <w:t>Statutory Guidance on Female Genital Mutilation (2016), Working Together t</w:t>
      </w:r>
      <w:r>
        <w:rPr>
          <w:rFonts w:asciiTheme="majorHAnsi" w:hAnsiTheme="majorHAnsi" w:cs="Calibri-Bold"/>
          <w:b/>
          <w:bCs/>
          <w:sz w:val="24"/>
          <w:szCs w:val="24"/>
        </w:rPr>
        <w:t xml:space="preserve">o Safeguard Children (2015) and </w:t>
      </w:r>
      <w:r w:rsidRPr="008C0B05">
        <w:rPr>
          <w:rFonts w:asciiTheme="majorHAnsi" w:hAnsiTheme="majorHAnsi" w:cs="Calibri-Bold"/>
          <w:b/>
          <w:bCs/>
          <w:sz w:val="24"/>
          <w:szCs w:val="24"/>
        </w:rPr>
        <w:t>Keeping Children Safe in Education (2016).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C0B05" w:rsidRP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8C0B05">
        <w:rPr>
          <w:rFonts w:ascii="Calibri-Bold" w:hAnsi="Calibri-Bold" w:cs="Calibri-Bold"/>
          <w:b/>
          <w:bCs/>
          <w:color w:val="000000"/>
        </w:rPr>
        <w:t>DEFINITION</w:t>
      </w:r>
    </w:p>
    <w:p w:rsidR="008C0B05" w:rsidRPr="008C0B05" w:rsidRDefault="008C0B05" w:rsidP="008C0B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1.1. </w:t>
      </w:r>
      <w:r>
        <w:rPr>
          <w:rFonts w:ascii="Calibri" w:hAnsi="Calibri" w:cs="Calibri"/>
          <w:color w:val="000000"/>
          <w:sz w:val="24"/>
          <w:szCs w:val="24"/>
        </w:rPr>
        <w:t>The World Health Organisation (WHO) states that female genital mutilation (FGM)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'comprises all procedures that involve partial or total removal of the external female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genitalia, or other injury to the female genital organs for nonmedical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reasons' (WHO,2008). FGM is not like male circumcision. 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It is frequently a very traumatic and violent experience for the victim and can cause harm in many ways. The practice can cause severe pain and there may be immediate and/or long-term health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consequences,including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mental health problems, difficulties in childbirth, danger for the child and mother and/or death.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1.2. The age at which FGM is carried out varies enormously among communities, from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soon after birth until adulthood.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-Bold" w:hAnsi="Calibri-Bold" w:cs="Calibri-Bold"/>
          <w:b/>
          <w:bCs/>
          <w:color w:val="000000"/>
        </w:rPr>
        <w:t>PREVALENCE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 FGM is a deeply rooted practice in sub-Saharan Africa, as well as in Asia and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Middle East. It serves as a complex form of social control of women’s sexual and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reproductive rights. It should also be remembered that girls and young women who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are British citizens, but whose parents were born in countries that practise FGM, may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also be at risk.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 In the UK, the prevalence of FGM is difficult to estimate because of the hidden nature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 the crime. A 2015 study noted that no local authority is likely to be free from FGM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entirely.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2.3. FGM may be associated with other behaviours that discriminate against, limit or harm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women and girls. These may include other forms of honour based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violence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e.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g.forced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marriage) and domestic abuse.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 LEGAL POSITION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3.1. </w:t>
      </w:r>
      <w:r>
        <w:rPr>
          <w:rFonts w:ascii="Calibri" w:hAnsi="Calibri" w:cs="Calibri"/>
          <w:color w:val="000000"/>
          <w:sz w:val="24"/>
          <w:szCs w:val="24"/>
        </w:rPr>
        <w:t>FGM has been illegal in the UK since the Female Circumcision Prohibition Act 1985.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made it illegal for a person to undertake FGM or for anyone to assist a girl / young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woman to mutilate her own genitalia. The only exception is for operations for specific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physical and mental health reasons, undertaken by registered medical or nursing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practitioners.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3.2. The Female Genital Mutilation Act 2003 strengthened the 1985 Act, by making it an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offence to take UK nationals and those with permanent UK residence, overseas for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purpose of circumcision, in order to aid and abet, counsel, or procure the carrying out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 of FGM. It also makes it illegal for anyone to circumcise girls or women for cultural or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Nonmedical reasons.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3.3. The 2003 Act was amended by the 2015 Serious Crimes Act, so that it now includes: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S-Gothic" w:eastAsia="MS-Gothic" w:hAnsi="Calibri-Bold" w:cs="MS-Gothic" w:hint="eastAsia"/>
          <w:color w:val="000000"/>
          <w:sz w:val="24"/>
          <w:szCs w:val="24"/>
        </w:rPr>
        <w:t>●</w:t>
      </w:r>
      <w:r>
        <w:rPr>
          <w:rFonts w:ascii="MS-Gothic" w:eastAsia="MS-Gothic" w:hAnsi="Calibri-Bold" w:cs="MS-Gothic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 offence of failing to protect a girl from FGM;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S-Gothic" w:eastAsia="MS-Gothic" w:hAnsi="Calibri-Bold" w:cs="MS-Gothic" w:hint="eastAsia"/>
          <w:color w:val="000000"/>
          <w:sz w:val="24"/>
          <w:szCs w:val="24"/>
        </w:rPr>
        <w:t>●</w:t>
      </w:r>
      <w:r>
        <w:rPr>
          <w:rFonts w:ascii="MS-Gothic" w:eastAsia="MS-Gothic" w:hAnsi="Calibri-Bold" w:cs="MS-Gothic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mandatory reporting duty, requiring specified professionals (including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teachers) to report known cases to the police;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S-Gothic" w:eastAsia="MS-Gothic" w:hAnsi="Calibri-Bold" w:cs="MS-Gothic" w:hint="eastAsia"/>
          <w:color w:val="000000"/>
          <w:sz w:val="24"/>
          <w:szCs w:val="24"/>
        </w:rPr>
        <w:t>●</w:t>
      </w:r>
      <w:r>
        <w:rPr>
          <w:rFonts w:ascii="MS-Gothic" w:eastAsia="MS-Gothic" w:hAnsi="Calibri-Bold" w:cs="MS-Gothic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Lifelong anonymity for victims of FGM;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S-Gothic" w:eastAsia="MS-Gothic" w:hAnsi="Calibri-Bold" w:cs="MS-Gothic" w:hint="eastAsia"/>
          <w:color w:val="000000"/>
          <w:sz w:val="24"/>
          <w:szCs w:val="24"/>
        </w:rPr>
        <w:t>●</w:t>
      </w:r>
      <w:r>
        <w:rPr>
          <w:rFonts w:ascii="MS-Gothic" w:eastAsia="MS-Gothic" w:hAnsi="Calibri-Bold" w:cs="MS-Gothic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Provision of jurisdiction over FGM offences committed abroad by UK nationals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those resident in the UK.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CULTURAL CONTEXT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4.1. </w:t>
      </w:r>
      <w:r>
        <w:rPr>
          <w:rFonts w:ascii="Calibri" w:hAnsi="Calibri" w:cs="Calibri"/>
          <w:color w:val="000000"/>
          <w:sz w:val="24"/>
          <w:szCs w:val="24"/>
        </w:rPr>
        <w:t>The issue of FGM is very complex. Despite the obvious harm and distress it can cause,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many parents from communities who practise FGM believe it to be important in order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protect their cultural identity. FGM is often practised within a religious context.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However, neither the Koran nor the Bible support the practice of FGM.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 CONSEQUENCES OF FGM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5.1. </w:t>
      </w:r>
      <w:r>
        <w:rPr>
          <w:rFonts w:ascii="Calibri" w:hAnsi="Calibri" w:cs="Calibri"/>
          <w:color w:val="000000"/>
          <w:sz w:val="24"/>
          <w:szCs w:val="24"/>
        </w:rPr>
        <w:t>Many people may not be aware of the relationship between FGM and its health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consequences in particular, the complications affecting sexual intercourse and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childbirth which may occur many years after the mutilation has taken place.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Short-term health implications include: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a. Severe pain and shock;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 Infections;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c. Urine retention;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d. Injury to adjacent tissues;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e. Fracture or dislocation as a result of restraint;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f. Damage to other organs.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5.2. Depending on the degree of mutilation, it can cause severe haemorrhaging and may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result in the death of the girl / young woman through loss of blood.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 Long term health implications include: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a. Excessive damage to the reproductive system;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 Infections;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c. Infertility;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d. Cysts;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e. Complications in pregnancy and childbirth, which may cause danger or death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the child and/or mother;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f. Mental health problems;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g. Sexual dysfunction;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h. Difficulties in menstruation;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Difficulties in passing urine;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j. Increased risk of HIV transmission.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6. SIGNS AND INDICATORS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6.1. </w:t>
      </w:r>
      <w:r>
        <w:rPr>
          <w:rFonts w:ascii="Calibri" w:hAnsi="Calibri" w:cs="Calibri"/>
          <w:color w:val="000000"/>
          <w:sz w:val="24"/>
          <w:szCs w:val="24"/>
        </w:rPr>
        <w:t>Some indications that FGM may have taken place include: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girl / young woman may spend time out of the classroom or other activities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with bladder or menstrual problems;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long absence from school or in the school holidays could be an indication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that a girl / young woman has recently undergone an FGM procedure,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particularly if there are behavioural changes on her return;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girl / young woman may require to be excused from PE lessons without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support of her GP;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girl / young woman may ask for help, either directly or indirectly;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girl / young woman may suffer emotional / psychological effects as a result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 undergoing FGM for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example, withdrawal or depression.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6.2. Some indications that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FGM may be about to take place </w:t>
      </w:r>
      <w:r>
        <w:rPr>
          <w:rFonts w:ascii="Calibri" w:hAnsi="Calibri" w:cs="Calibri"/>
          <w:color w:val="000000"/>
          <w:sz w:val="24"/>
          <w:szCs w:val="24"/>
        </w:rPr>
        <w:t>include: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conversation with a girl / young woman during which she refers to FGM,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either in relation to herself or to another female family member or friend;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girl / young woman requesting help to prevent it happening;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girl / young woman expressing anxiety about a 'special procedure' or a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'special occasion', which may include discussion of a holiday to her country of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origin;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 boy may indicate some concern about his sister or other female relative.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7. INCREASING AWARENESS WITHIN THE MELTON LEARNING HUB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7.1.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We  aim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 create an open environment, in which students feel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comfortable and safe to discuss the problems they are facing and in which support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counselling are provided routinely. Students need to know that they will be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listened to and their concerns taken seriously.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7.2. the Hub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has  created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 open and supportive environment by: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making available information and materials about FGM;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displaying relevant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information  and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details of the NSPCC’s Helpline and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ChildLine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services,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Careline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appropriate black and minority ethnic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women’s groups;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ensuring that the Designated Child protection Coordinator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(DCPC) is well versed in the issues relating to FGM and that training and other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Awareness raising.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referring students to appropriate support services within the Local Authority</w:t>
      </w:r>
    </w:p>
    <w:p w:rsidR="0040366A" w:rsidRDefault="0040366A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8. ACTION TO TAKE IF STAFF BELIEVE A CHILD IS A RISK OF FGM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8.1. All efforts should be made to establish the full facts from the student at the earliest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opportunity.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 If there is an indication that the child or young person is at risk of FGM or has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undergone FGM, or if she has expressed fears of reprisals or violence, the information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must be shared with both the police and children’s social care authority.</w:t>
      </w:r>
    </w:p>
    <w:p w:rsidR="008C0B05" w:rsidRDefault="0040366A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8.3. Where a tutor</w:t>
      </w:r>
      <w:r w:rsidR="008C0B05">
        <w:rPr>
          <w:rFonts w:ascii="Calibri" w:hAnsi="Calibri" w:cs="Calibri"/>
          <w:color w:val="000000"/>
          <w:sz w:val="24"/>
          <w:szCs w:val="24"/>
        </w:rPr>
        <w:t>, in the course of his/her professional work, becomes aware of a FGM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case, s/he must report it to the police. This a mandatory duty under Section 5B of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2003 Act.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8.4. Conversations with the child or young person should explain that FGM is illegal in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UK and that she will be protected by the law. Staff should recognise and respect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child’s/young person’s wishes where possible, but child welfare must be paramount.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approach should be victim</w:t>
      </w:r>
      <w:r w:rsidR="0040366A">
        <w:rPr>
          <w:rFonts w:ascii="Calibri" w:hAnsi="Calibri" w:cs="Calibri"/>
          <w:color w:val="000000"/>
          <w:sz w:val="24"/>
          <w:szCs w:val="24"/>
        </w:rPr>
        <w:t xml:space="preserve"> centred, </w:t>
      </w:r>
      <w:r>
        <w:rPr>
          <w:rFonts w:ascii="Calibri" w:hAnsi="Calibri" w:cs="Calibri"/>
          <w:color w:val="000000"/>
          <w:sz w:val="24"/>
          <w:szCs w:val="24"/>
        </w:rPr>
        <w:t>with a clear understanding of the needs and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views of those affected by FGM. Child welfare must be paramount in this process.</w:t>
      </w:r>
    </w:p>
    <w:p w:rsidR="0040366A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8.5.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Where there is any concern that a girl/young woman i</w:t>
      </w:r>
      <w:r w:rsidR="0040366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 at risk of, or has undergone,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FGM, all information must be referred to the academy’</w:t>
      </w:r>
      <w:r w:rsidR="0040366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 Designated Safeguarding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Lead (DSL) immediately, regardless of whether or n</w:t>
      </w:r>
      <w:r w:rsidR="0040366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ot the police have already been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contacted. The DSL will then make a referral to Children’s Social Care. </w:t>
      </w:r>
    </w:p>
    <w:p w:rsidR="008C0B05" w:rsidRPr="0040366A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this process,</w:t>
      </w:r>
      <w:r w:rsidR="0040366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staff should ensure that safeguarding and protection are considered for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child/young adult and for any female family members.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8.6. If a girl / young woman is thought to be at risk of FGM,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staff should be aware of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need to act quickly, </w:t>
      </w:r>
      <w:r>
        <w:rPr>
          <w:rFonts w:ascii="Calibri" w:hAnsi="Calibri" w:cs="Calibri"/>
          <w:color w:val="000000"/>
          <w:sz w:val="24"/>
          <w:szCs w:val="24"/>
        </w:rPr>
        <w:t>before she is abused by un</w:t>
      </w:r>
      <w:r w:rsidR="0040366A">
        <w:rPr>
          <w:rFonts w:ascii="Calibri" w:hAnsi="Calibri" w:cs="Calibri"/>
          <w:color w:val="000000"/>
          <w:sz w:val="24"/>
          <w:szCs w:val="24"/>
        </w:rPr>
        <w:t xml:space="preserve">dergoing FGM in the UK or taken </w:t>
      </w:r>
      <w:r>
        <w:rPr>
          <w:rFonts w:ascii="Calibri" w:hAnsi="Calibri" w:cs="Calibri"/>
          <w:color w:val="000000"/>
          <w:sz w:val="24"/>
          <w:szCs w:val="24"/>
        </w:rPr>
        <w:t>abroad to undergo the procedure.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8.7. Staff should not: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treat allegations merely as a domestic issue;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approach whether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by telephone, letter or electronic communication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student’s family, or those with influence within the community, in advance of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any investigation by the police or social services. Speaking to the student’s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parents about the action you are taking may place the student at risk of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emotional and/or physical harm. Do not approach the family, therefore, as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they may deny the allegations, expedite any travel arrangements and hasten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their plans to carry out the procedure.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remove the student from the school register without first making enquiries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and/or referring the case to the police and local authority adult or children’s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social care.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9. Working Together to Tackle FGM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9.1. It is not possible for a single professional to have a full picture of an individual’s needs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circumstances. It is important that women and girls affected by FGM receive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right help at the right time.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9.2. Wherever possible, the academy will actively seek and support ways to reduce the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prevalence of FGM. The academy will work with other agencies to consider how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preventative work can be embedded within its safeguarding processes. This may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include committing support for girls and families at risk.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9.3. The lead person for FGM within the academy will be the DSL, who will ensure that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cases of FGM are handled, monitored and recorded correctly. The DSL will have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received appropriate training in respect of the risks associated with FGM and in how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address such issues.</w:t>
      </w:r>
    </w:p>
    <w:p w:rsidR="008C0B05" w:rsidRDefault="008C0B05" w:rsidP="008C0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9.4. Training will take place regularly to enable all staff to discharge effectively their</w:t>
      </w:r>
    </w:p>
    <w:p w:rsidR="00B56A1C" w:rsidRDefault="008C0B05" w:rsidP="008C0B0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safeguarding duties with regard to FGM.</w:t>
      </w:r>
    </w:p>
    <w:p w:rsidR="0040366A" w:rsidRDefault="0040366A" w:rsidP="008C0B05">
      <w:pPr>
        <w:rPr>
          <w:rFonts w:ascii="Calibri" w:hAnsi="Calibri" w:cs="Calibri"/>
          <w:color w:val="000000"/>
          <w:sz w:val="24"/>
          <w:szCs w:val="24"/>
        </w:rPr>
      </w:pPr>
    </w:p>
    <w:p w:rsidR="0040366A" w:rsidRDefault="0040366A" w:rsidP="008C0B0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Policy Prepared by Sarah Cox</w:t>
      </w:r>
    </w:p>
    <w:p w:rsidR="0040366A" w:rsidRDefault="0040366A" w:rsidP="008C0B0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Date 9</w:t>
      </w:r>
      <w:r w:rsidRPr="0040366A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February 2017</w:t>
      </w:r>
    </w:p>
    <w:p w:rsidR="007E5E1F" w:rsidRDefault="007E5E1F" w:rsidP="008C0B05">
      <w:r>
        <w:rPr>
          <w:rFonts w:ascii="Calibri" w:hAnsi="Calibri" w:cs="Calibri"/>
          <w:color w:val="000000"/>
          <w:sz w:val="24"/>
          <w:szCs w:val="24"/>
        </w:rPr>
        <w:t>Reviewed August 2018</w:t>
      </w:r>
      <w:bookmarkStart w:id="0" w:name="_GoBack"/>
      <w:bookmarkEnd w:id="0"/>
    </w:p>
    <w:sectPr w:rsidR="007E5E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8B" w:rsidRDefault="006D618B" w:rsidP="008C0B05">
      <w:pPr>
        <w:spacing w:after="0" w:line="240" w:lineRule="auto"/>
      </w:pPr>
      <w:r>
        <w:separator/>
      </w:r>
    </w:p>
  </w:endnote>
  <w:endnote w:type="continuationSeparator" w:id="0">
    <w:p w:rsidR="006D618B" w:rsidRDefault="006D618B" w:rsidP="008C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-Goth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8B" w:rsidRDefault="006D618B" w:rsidP="008C0B05">
      <w:pPr>
        <w:spacing w:after="0" w:line="240" w:lineRule="auto"/>
      </w:pPr>
      <w:r>
        <w:separator/>
      </w:r>
    </w:p>
  </w:footnote>
  <w:footnote w:type="continuationSeparator" w:id="0">
    <w:p w:rsidR="006D618B" w:rsidRDefault="006D618B" w:rsidP="008C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05" w:rsidRDefault="008C0B05" w:rsidP="008C0B0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59158" cy="136370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-logo without sur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347" cy="136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207"/>
    <w:multiLevelType w:val="hybridMultilevel"/>
    <w:tmpl w:val="1C1E13FE"/>
    <w:lvl w:ilvl="0" w:tplc="59BCED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05"/>
    <w:rsid w:val="0040366A"/>
    <w:rsid w:val="004306E6"/>
    <w:rsid w:val="006D618B"/>
    <w:rsid w:val="007E5E1F"/>
    <w:rsid w:val="008C0B05"/>
    <w:rsid w:val="00B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46A4C"/>
  <w15:docId w15:val="{D19D320A-115E-4945-8E1B-A129E79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05"/>
  </w:style>
  <w:style w:type="paragraph" w:styleId="Footer">
    <w:name w:val="footer"/>
    <w:basedOn w:val="Normal"/>
    <w:link w:val="FooterChar"/>
    <w:uiPriority w:val="99"/>
    <w:unhideWhenUsed/>
    <w:rsid w:val="008C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05"/>
  </w:style>
  <w:style w:type="paragraph" w:styleId="BalloonText">
    <w:name w:val="Balloon Text"/>
    <w:basedOn w:val="Normal"/>
    <w:link w:val="BalloonTextChar"/>
    <w:uiPriority w:val="99"/>
    <w:semiHidden/>
    <w:unhideWhenUsed/>
    <w:rsid w:val="008C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Cox</dc:creator>
  <cp:lastModifiedBy>Jo Kear</cp:lastModifiedBy>
  <cp:revision>2</cp:revision>
  <dcterms:created xsi:type="dcterms:W3CDTF">2017-02-09T10:39:00Z</dcterms:created>
  <dcterms:modified xsi:type="dcterms:W3CDTF">2019-04-17T12:55:00Z</dcterms:modified>
</cp:coreProperties>
</file>